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1E1D" w14:textId="217B1EF8" w:rsidR="00BD4E17" w:rsidRPr="00BD4E17" w:rsidRDefault="00BD4E17">
      <w:pPr>
        <w:rPr>
          <w:b/>
          <w:bCs/>
          <w:u w:val="single"/>
        </w:rPr>
      </w:pPr>
      <w:r w:rsidRPr="00BD4E17">
        <w:rPr>
          <w:b/>
          <w:bCs/>
          <w:u w:val="single"/>
        </w:rPr>
        <w:t xml:space="preserve">Session </w:t>
      </w:r>
      <w:r w:rsidR="00486B33">
        <w:rPr>
          <w:b/>
          <w:bCs/>
          <w:u w:val="single"/>
        </w:rPr>
        <w:t>2</w:t>
      </w:r>
      <w:r w:rsidRPr="00BD4E17">
        <w:rPr>
          <w:b/>
          <w:bCs/>
          <w:u w:val="single"/>
        </w:rPr>
        <w:t xml:space="preserve"> </w:t>
      </w:r>
      <w:r w:rsidR="00354364">
        <w:rPr>
          <w:b/>
          <w:bCs/>
          <w:u w:val="single"/>
        </w:rPr>
        <w:t>On Health: Collaborations</w:t>
      </w:r>
    </w:p>
    <w:p w14:paraId="5961F017" w14:textId="77777777" w:rsidR="00BD4E17" w:rsidRDefault="00BD4E17"/>
    <w:tbl>
      <w:tblPr>
        <w:tblStyle w:val="TableGrid"/>
        <w:tblW w:w="9625" w:type="dxa"/>
        <w:tblLook w:val="04A0" w:firstRow="1" w:lastRow="0" w:firstColumn="1" w:lastColumn="0" w:noHBand="0" w:noVBand="1"/>
      </w:tblPr>
      <w:tblGrid>
        <w:gridCol w:w="1174"/>
        <w:gridCol w:w="2248"/>
        <w:gridCol w:w="6203"/>
      </w:tblGrid>
      <w:tr w:rsidR="00510449" w:rsidRPr="00510449" w14:paraId="346FECF7" w14:textId="77777777" w:rsidTr="00510449">
        <w:trPr>
          <w:trHeight w:val="1260"/>
        </w:trPr>
        <w:tc>
          <w:tcPr>
            <w:tcW w:w="1174" w:type="dxa"/>
          </w:tcPr>
          <w:p w14:paraId="2EC334CC" w14:textId="0360F1E5" w:rsidR="00510449" w:rsidRPr="00510449" w:rsidRDefault="00510449">
            <w:pPr>
              <w:rPr>
                <w:b/>
                <w:bCs/>
              </w:rPr>
            </w:pPr>
            <w:bookmarkStart w:id="0" w:name="_GoBack"/>
            <w:r w:rsidRPr="00510449">
              <w:rPr>
                <w:b/>
                <w:bCs/>
              </w:rPr>
              <w:t>Faculty Presenter</w:t>
            </w:r>
          </w:p>
        </w:tc>
        <w:tc>
          <w:tcPr>
            <w:tcW w:w="2248" w:type="dxa"/>
          </w:tcPr>
          <w:p w14:paraId="11CD3248" w14:textId="72E5561A" w:rsidR="00510449" w:rsidRPr="00510449" w:rsidRDefault="00510449">
            <w:pPr>
              <w:rPr>
                <w:b/>
                <w:bCs/>
              </w:rPr>
            </w:pPr>
            <w:r w:rsidRPr="00510449">
              <w:rPr>
                <w:b/>
                <w:bCs/>
              </w:rPr>
              <w:t>Abstract Title</w:t>
            </w:r>
          </w:p>
        </w:tc>
        <w:tc>
          <w:tcPr>
            <w:tcW w:w="6203" w:type="dxa"/>
          </w:tcPr>
          <w:p w14:paraId="080EA22A" w14:textId="301BA91B" w:rsidR="00510449" w:rsidRPr="00510449" w:rsidRDefault="00510449">
            <w:pPr>
              <w:rPr>
                <w:b/>
                <w:bCs/>
              </w:rPr>
            </w:pPr>
            <w:r w:rsidRPr="00510449">
              <w:rPr>
                <w:b/>
                <w:bCs/>
              </w:rPr>
              <w:t>Abstract</w:t>
            </w:r>
          </w:p>
        </w:tc>
      </w:tr>
      <w:bookmarkEnd w:id="0"/>
      <w:tr w:rsidR="00354364" w:rsidRPr="00354364" w14:paraId="54CBB0AB" w14:textId="77777777" w:rsidTr="00510449">
        <w:trPr>
          <w:trHeight w:val="1260"/>
        </w:trPr>
        <w:tc>
          <w:tcPr>
            <w:tcW w:w="1174" w:type="dxa"/>
            <w:hideMark/>
          </w:tcPr>
          <w:p w14:paraId="06F8C9B5" w14:textId="77777777" w:rsidR="00354364" w:rsidRPr="00354364" w:rsidRDefault="00354364">
            <w:r w:rsidRPr="00354364">
              <w:t>Jeryl Jones</w:t>
            </w:r>
          </w:p>
        </w:tc>
        <w:tc>
          <w:tcPr>
            <w:tcW w:w="2248" w:type="dxa"/>
            <w:hideMark/>
          </w:tcPr>
          <w:p w14:paraId="6DB1BE10" w14:textId="77777777" w:rsidR="00354364" w:rsidRPr="00354364" w:rsidRDefault="00354364">
            <w:r w:rsidRPr="00354364">
              <w:t>AVS One Health Research Group</w:t>
            </w:r>
          </w:p>
        </w:tc>
        <w:tc>
          <w:tcPr>
            <w:tcW w:w="6203" w:type="dxa"/>
            <w:hideMark/>
          </w:tcPr>
          <w:p w14:paraId="56D56D37" w14:textId="77777777" w:rsidR="00354364" w:rsidRPr="00354364" w:rsidRDefault="00354364">
            <w:r w:rsidRPr="00354364">
              <w:t>We have recently formed a One Health Research Group in the CAFLS Department of Animal and Veterinary Sciences. Expertise areas for current members include animal behavior and welfare, animal growth and development, equine-assisted therapy, veterinary regulatory medicine, veterinary radiology, and translational research in musculoskeletal health and regenerative medicine. Our goals are to grow student training in One Health concepts and grow multi-disciplinary research projects that address important One Health problems.</w:t>
            </w:r>
          </w:p>
        </w:tc>
      </w:tr>
      <w:tr w:rsidR="00354364" w:rsidRPr="00354364" w14:paraId="0EDF4061" w14:textId="77777777" w:rsidTr="00510449">
        <w:trPr>
          <w:trHeight w:val="1260"/>
        </w:trPr>
        <w:tc>
          <w:tcPr>
            <w:tcW w:w="1174" w:type="dxa"/>
            <w:hideMark/>
          </w:tcPr>
          <w:p w14:paraId="25457A39" w14:textId="77777777" w:rsidR="00354364" w:rsidRPr="00354364" w:rsidRDefault="00354364">
            <w:r w:rsidRPr="00354364">
              <w:t>Arwen Declan</w:t>
            </w:r>
          </w:p>
        </w:tc>
        <w:tc>
          <w:tcPr>
            <w:tcW w:w="2248" w:type="dxa"/>
            <w:hideMark/>
          </w:tcPr>
          <w:p w14:paraId="74C2798D" w14:textId="77777777" w:rsidR="00354364" w:rsidRPr="00354364" w:rsidRDefault="00354364">
            <w:r w:rsidRPr="00354364">
              <w:t>Science &amp; Medicine Through the Emergency Department Lens: A Spectrum of Collaborative Opportunities</w:t>
            </w:r>
          </w:p>
        </w:tc>
        <w:tc>
          <w:tcPr>
            <w:tcW w:w="6203" w:type="dxa"/>
            <w:hideMark/>
          </w:tcPr>
          <w:p w14:paraId="63BE1958" w14:textId="77777777" w:rsidR="00354364" w:rsidRPr="00354364" w:rsidRDefault="00354364">
            <w:r w:rsidRPr="00354364">
              <w:t>I am an emergency physician at Prisma Health – Upstate and CUSHR clinical faculty. My prior collaborations have focused on education, secondary data analysis, implementation science, and COVID-19. My interests also include lifestyle approaches to chronic diseases as they apply to prevention and treatment from the lens of the Emergency Department. I look forward to future collaborations that build generalizable knowledge and improve patient care and outcomes.</w:t>
            </w:r>
          </w:p>
        </w:tc>
      </w:tr>
      <w:tr w:rsidR="00354364" w:rsidRPr="00354364" w14:paraId="2CCCEFEA" w14:textId="77777777" w:rsidTr="00510449">
        <w:trPr>
          <w:trHeight w:val="1510"/>
        </w:trPr>
        <w:tc>
          <w:tcPr>
            <w:tcW w:w="1174" w:type="dxa"/>
            <w:hideMark/>
          </w:tcPr>
          <w:p w14:paraId="56AE32EF" w14:textId="77777777" w:rsidR="00354364" w:rsidRPr="00354364" w:rsidRDefault="00354364">
            <w:r w:rsidRPr="00354364">
              <w:t>M Gabriela Sava</w:t>
            </w:r>
          </w:p>
        </w:tc>
        <w:tc>
          <w:tcPr>
            <w:tcW w:w="2248" w:type="dxa"/>
            <w:hideMark/>
          </w:tcPr>
          <w:p w14:paraId="1E292DA5" w14:textId="77777777" w:rsidR="00354364" w:rsidRPr="00354364" w:rsidRDefault="00354364">
            <w:r w:rsidRPr="00354364">
              <w:t>Diabetes patient surveillance in the Emergency Department: proof of concept and opportunities</w:t>
            </w:r>
          </w:p>
        </w:tc>
        <w:tc>
          <w:tcPr>
            <w:tcW w:w="6203" w:type="dxa"/>
            <w:hideMark/>
          </w:tcPr>
          <w:p w14:paraId="2CC8C226" w14:textId="77777777" w:rsidR="00354364" w:rsidRPr="00354364" w:rsidRDefault="00354364">
            <w:r w:rsidRPr="00354364">
              <w:t>The purpose of this study was to characterize the at-risk diabetes and prediabetes patient population visiting ED and UC centers in upstate South Carolina. Population analysis was stratified by the patient's annual number of ED/UC visits within the time horizon 2016-2018. This study supports the idea that a single ED/UC unscheduled visit can identify individuals with unrecognized diabetes and an at-risk prediabetes population using EHR data. A patient's ED/UC visit, regardless of their primary reason for seeking care, may be an opportunity to provide early identification and diabetes disease management enrollment to augment the medical care of our community.</w:t>
            </w:r>
          </w:p>
        </w:tc>
      </w:tr>
      <w:tr w:rsidR="00354364" w:rsidRPr="00354364" w14:paraId="1DA5F892" w14:textId="77777777" w:rsidTr="00510449">
        <w:trPr>
          <w:trHeight w:val="3420"/>
        </w:trPr>
        <w:tc>
          <w:tcPr>
            <w:tcW w:w="1174" w:type="dxa"/>
            <w:hideMark/>
          </w:tcPr>
          <w:p w14:paraId="4D1CC21E" w14:textId="77777777" w:rsidR="00354364" w:rsidRPr="00354364" w:rsidRDefault="00354364">
            <w:r w:rsidRPr="00354364">
              <w:lastRenderedPageBreak/>
              <w:t>Marissa Shuffler</w:t>
            </w:r>
          </w:p>
        </w:tc>
        <w:tc>
          <w:tcPr>
            <w:tcW w:w="2248" w:type="dxa"/>
            <w:hideMark/>
          </w:tcPr>
          <w:p w14:paraId="2DE75466" w14:textId="77777777" w:rsidR="00354364" w:rsidRPr="00354364" w:rsidRDefault="00354364">
            <w:r w:rsidRPr="00354364">
              <w:t>Addressing Emergency Clinician Well-Being and Burnout During the COVID-19 Pandemic</w:t>
            </w:r>
          </w:p>
        </w:tc>
        <w:tc>
          <w:tcPr>
            <w:tcW w:w="6203" w:type="dxa"/>
            <w:hideMark/>
          </w:tcPr>
          <w:p w14:paraId="1E9D8FE5" w14:textId="77777777" w:rsidR="00354364" w:rsidRPr="00354364" w:rsidRDefault="00354364">
            <w:r w:rsidRPr="00354364">
              <w:t xml:space="preserve">While the wellbeing and burnout of healthcare professionals has begun to receive attention in recent years, the onset of the COVID-19 pandemic has dramatically increased number of physical, emotional, and mental demands placed upon clinicians, especially those in emergency medicine (EM). The current study integrates </w:t>
            </w:r>
            <w:proofErr w:type="spellStart"/>
            <w:r w:rsidRPr="00354364">
              <w:t>Demerouti</w:t>
            </w:r>
            <w:proofErr w:type="spellEnd"/>
            <w:r w:rsidRPr="00354364">
              <w:t xml:space="preserve"> et </w:t>
            </w:r>
            <w:proofErr w:type="spellStart"/>
            <w:r w:rsidRPr="00354364">
              <w:t>al's</w:t>
            </w:r>
            <w:proofErr w:type="spellEnd"/>
            <w:r w:rsidRPr="00354364">
              <w:t xml:space="preserve"> (2001) Job Demands-Resources (JD-R) model with a person-centric approach, in order to predict how different combinations, or profiles, of experienced demands and resources may impact burnout and well-being in a sample of EM clinicians, including attendings, advanced practice providers, residents, and registered nurses. We tested these profiles using latent profile analysis with data collected as part of a monthly assessment of EM clinicians, and identified a best-fitting solution of five emergent profiles with different combinations of general job demands, COVID-19-related job demands, internal job resources, and external job resources; notably, three of the profiles demonstrated a significantly higher risk for burnout than the other two. Specific details of the five emergent profiles and their associated impact on EM clinician burnout and well-being will be further discussed in the full presentation, as will the practical implications as to how healthcare organizations may be able to utilize this profile approach to better meet EM clinicians' needs and reduce their burnout, even during unprecedented events like the COVID-19 pandemic.</w:t>
            </w:r>
          </w:p>
        </w:tc>
      </w:tr>
      <w:tr w:rsidR="00354364" w:rsidRPr="00354364" w14:paraId="4BCA901F" w14:textId="77777777" w:rsidTr="00510449">
        <w:trPr>
          <w:trHeight w:val="1260"/>
        </w:trPr>
        <w:tc>
          <w:tcPr>
            <w:tcW w:w="1174" w:type="dxa"/>
            <w:hideMark/>
          </w:tcPr>
          <w:p w14:paraId="033DAB3F" w14:textId="77777777" w:rsidR="00354364" w:rsidRPr="00354364" w:rsidRDefault="00354364">
            <w:r w:rsidRPr="00354364">
              <w:t>Lawrence D. Fredendall</w:t>
            </w:r>
          </w:p>
        </w:tc>
        <w:tc>
          <w:tcPr>
            <w:tcW w:w="2248" w:type="dxa"/>
            <w:hideMark/>
          </w:tcPr>
          <w:p w14:paraId="3DE37DCF" w14:textId="77777777" w:rsidR="00354364" w:rsidRPr="00354364" w:rsidRDefault="00354364">
            <w:r w:rsidRPr="00354364">
              <w:t>Creating Nurse Standard Work in an Emergency Department</w:t>
            </w:r>
          </w:p>
        </w:tc>
        <w:tc>
          <w:tcPr>
            <w:tcW w:w="6203" w:type="dxa"/>
            <w:hideMark/>
          </w:tcPr>
          <w:p w14:paraId="5B5E4D5B" w14:textId="77777777" w:rsidR="00354364" w:rsidRPr="00354364" w:rsidRDefault="00354364">
            <w:r w:rsidRPr="00354364">
              <w:t xml:space="preserve">Standardized work in healthcare has long been recognized as being important to improving delivery of care to patients and to improved patient safety. It improves the patient experience by reducing delays in care delivery and by allowing time for providers to interact with the patient. However, the means of establishing and maintaining nursing standard work (NSW) is not well understood. This research examines how was established in one section of the Emergency Department (ED) at </w:t>
            </w:r>
            <w:proofErr w:type="spellStart"/>
            <w:r w:rsidRPr="00354364">
              <w:t>Prismahealth</w:t>
            </w:r>
            <w:proofErr w:type="spellEnd"/>
            <w:r w:rsidRPr="00354364">
              <w:t xml:space="preserve"> and how NSW is maintained in the ED.</w:t>
            </w:r>
          </w:p>
        </w:tc>
      </w:tr>
      <w:tr w:rsidR="00354364" w:rsidRPr="00354364" w14:paraId="614301A3" w14:textId="77777777" w:rsidTr="00510449">
        <w:trPr>
          <w:trHeight w:val="2010"/>
        </w:trPr>
        <w:tc>
          <w:tcPr>
            <w:tcW w:w="1174" w:type="dxa"/>
            <w:hideMark/>
          </w:tcPr>
          <w:p w14:paraId="3507DCF7" w14:textId="77777777" w:rsidR="00354364" w:rsidRPr="00354364" w:rsidRDefault="00354364">
            <w:r w:rsidRPr="00354364">
              <w:t>Kevin Taaffe</w:t>
            </w:r>
          </w:p>
        </w:tc>
        <w:tc>
          <w:tcPr>
            <w:tcW w:w="2248" w:type="dxa"/>
            <w:hideMark/>
          </w:tcPr>
          <w:p w14:paraId="45B48C9F" w14:textId="77777777" w:rsidR="00354364" w:rsidRPr="00354364" w:rsidRDefault="00354364">
            <w:r w:rsidRPr="00354364">
              <w:t>Identifying Optimal Staffing Levels to Improve Patient Flow and Patient Safety in the Emergency Department</w:t>
            </w:r>
          </w:p>
        </w:tc>
        <w:tc>
          <w:tcPr>
            <w:tcW w:w="6203" w:type="dxa"/>
            <w:hideMark/>
          </w:tcPr>
          <w:p w14:paraId="3A837C44" w14:textId="77777777" w:rsidR="00354364" w:rsidRPr="00354364" w:rsidRDefault="00354364">
            <w:r w:rsidRPr="00354364">
              <w:t xml:space="preserve">According to the 2017 Centers for Disease Control and Prevention (CDC) reports, approximately 145 million visits are made to Emergency Departments (EDs) in the US annually, an increase of 24.7% over the last ten years. Studies have shown the ED to be one of the hospital departments with high error rates, with primary sources of errors that include interruptions, miscommunications, and loss of information. Patient handoffs, the transfer of a patient's care and responsibility from one physician to another are of </w:t>
            </w:r>
            <w:proofErr w:type="gramStart"/>
            <w:r w:rsidRPr="00354364">
              <w:t>particular concern</w:t>
            </w:r>
            <w:proofErr w:type="gramEnd"/>
            <w:r w:rsidRPr="00354364">
              <w:t>. This research focused on developing a hybrid simulation model coupled with a mathematical model for identifying optimal physician staffing to manage the patient arrivals while minimizing the number of handoffs, patient time in ED and not negatively affecting other Centers for Medicare &amp; Medicaid Services (CMS) core metrics.</w:t>
            </w:r>
          </w:p>
        </w:tc>
      </w:tr>
    </w:tbl>
    <w:p w14:paraId="5BE5976D" w14:textId="77777777" w:rsidR="00BD4E17" w:rsidRDefault="00BD4E17"/>
    <w:sectPr w:rsidR="00BD4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47F5C" w14:textId="77777777" w:rsidR="00FE1BEA" w:rsidRDefault="00FE1BEA" w:rsidP="00BD4E17">
      <w:pPr>
        <w:spacing w:after="0" w:line="240" w:lineRule="auto"/>
      </w:pPr>
      <w:r>
        <w:separator/>
      </w:r>
    </w:p>
  </w:endnote>
  <w:endnote w:type="continuationSeparator" w:id="0">
    <w:p w14:paraId="5427A7F2" w14:textId="77777777" w:rsidR="00FE1BEA" w:rsidRDefault="00FE1BEA" w:rsidP="00BD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D320D" w14:textId="77777777" w:rsidR="00FE1BEA" w:rsidRDefault="00FE1BEA" w:rsidP="00BD4E17">
      <w:pPr>
        <w:spacing w:after="0" w:line="240" w:lineRule="auto"/>
      </w:pPr>
      <w:r>
        <w:separator/>
      </w:r>
    </w:p>
  </w:footnote>
  <w:footnote w:type="continuationSeparator" w:id="0">
    <w:p w14:paraId="63AC7520" w14:textId="77777777" w:rsidR="00FE1BEA" w:rsidRDefault="00FE1BEA" w:rsidP="00BD4E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17"/>
    <w:rsid w:val="000C0105"/>
    <w:rsid w:val="000E0D15"/>
    <w:rsid w:val="001668C1"/>
    <w:rsid w:val="00247FEB"/>
    <w:rsid w:val="00354364"/>
    <w:rsid w:val="00486B33"/>
    <w:rsid w:val="00510449"/>
    <w:rsid w:val="005720C7"/>
    <w:rsid w:val="00BD4E17"/>
    <w:rsid w:val="00CB636F"/>
    <w:rsid w:val="00DA32B7"/>
    <w:rsid w:val="00E61676"/>
    <w:rsid w:val="00FA160F"/>
    <w:rsid w:val="00FE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9E42D"/>
  <w15:chartTrackingRefBased/>
  <w15:docId w15:val="{F37BB82B-5093-4114-8F48-0339EAD8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17"/>
  </w:style>
  <w:style w:type="paragraph" w:styleId="Footer">
    <w:name w:val="footer"/>
    <w:basedOn w:val="Normal"/>
    <w:link w:val="FooterChar"/>
    <w:uiPriority w:val="99"/>
    <w:unhideWhenUsed/>
    <w:rsid w:val="00BD4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E17"/>
  </w:style>
  <w:style w:type="paragraph" w:styleId="BalloonText">
    <w:name w:val="Balloon Text"/>
    <w:basedOn w:val="Normal"/>
    <w:link w:val="BalloonTextChar"/>
    <w:uiPriority w:val="99"/>
    <w:semiHidden/>
    <w:unhideWhenUsed/>
    <w:rsid w:val="00CB6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49833">
      <w:bodyDiv w:val="1"/>
      <w:marLeft w:val="0"/>
      <w:marRight w:val="0"/>
      <w:marTop w:val="0"/>
      <w:marBottom w:val="0"/>
      <w:divBdr>
        <w:top w:val="none" w:sz="0" w:space="0" w:color="auto"/>
        <w:left w:val="none" w:sz="0" w:space="0" w:color="auto"/>
        <w:bottom w:val="none" w:sz="0" w:space="0" w:color="auto"/>
        <w:right w:val="none" w:sz="0" w:space="0" w:color="auto"/>
      </w:divBdr>
    </w:div>
    <w:div w:id="414283794">
      <w:bodyDiv w:val="1"/>
      <w:marLeft w:val="0"/>
      <w:marRight w:val="0"/>
      <w:marTop w:val="0"/>
      <w:marBottom w:val="0"/>
      <w:divBdr>
        <w:top w:val="none" w:sz="0" w:space="0" w:color="auto"/>
        <w:left w:val="none" w:sz="0" w:space="0" w:color="auto"/>
        <w:bottom w:val="none" w:sz="0" w:space="0" w:color="auto"/>
        <w:right w:val="none" w:sz="0" w:space="0" w:color="auto"/>
      </w:divBdr>
    </w:div>
    <w:div w:id="487206578">
      <w:bodyDiv w:val="1"/>
      <w:marLeft w:val="0"/>
      <w:marRight w:val="0"/>
      <w:marTop w:val="0"/>
      <w:marBottom w:val="0"/>
      <w:divBdr>
        <w:top w:val="none" w:sz="0" w:space="0" w:color="auto"/>
        <w:left w:val="none" w:sz="0" w:space="0" w:color="auto"/>
        <w:bottom w:val="none" w:sz="0" w:space="0" w:color="auto"/>
        <w:right w:val="none" w:sz="0" w:space="0" w:color="auto"/>
      </w:divBdr>
    </w:div>
    <w:div w:id="1138038288">
      <w:bodyDiv w:val="1"/>
      <w:marLeft w:val="0"/>
      <w:marRight w:val="0"/>
      <w:marTop w:val="0"/>
      <w:marBottom w:val="0"/>
      <w:divBdr>
        <w:top w:val="none" w:sz="0" w:space="0" w:color="auto"/>
        <w:left w:val="none" w:sz="0" w:space="0" w:color="auto"/>
        <w:bottom w:val="none" w:sz="0" w:space="0" w:color="auto"/>
        <w:right w:val="none" w:sz="0" w:space="0" w:color="auto"/>
      </w:divBdr>
    </w:div>
    <w:div w:id="1290741947">
      <w:bodyDiv w:val="1"/>
      <w:marLeft w:val="0"/>
      <w:marRight w:val="0"/>
      <w:marTop w:val="0"/>
      <w:marBottom w:val="0"/>
      <w:divBdr>
        <w:top w:val="none" w:sz="0" w:space="0" w:color="auto"/>
        <w:left w:val="none" w:sz="0" w:space="0" w:color="auto"/>
        <w:bottom w:val="none" w:sz="0" w:space="0" w:color="auto"/>
        <w:right w:val="none" w:sz="0" w:space="0" w:color="auto"/>
      </w:divBdr>
    </w:div>
    <w:div w:id="1324965483">
      <w:bodyDiv w:val="1"/>
      <w:marLeft w:val="0"/>
      <w:marRight w:val="0"/>
      <w:marTop w:val="0"/>
      <w:marBottom w:val="0"/>
      <w:divBdr>
        <w:top w:val="none" w:sz="0" w:space="0" w:color="auto"/>
        <w:left w:val="none" w:sz="0" w:space="0" w:color="auto"/>
        <w:bottom w:val="none" w:sz="0" w:space="0" w:color="auto"/>
        <w:right w:val="none" w:sz="0" w:space="0" w:color="auto"/>
      </w:divBdr>
    </w:div>
    <w:div w:id="1750731636">
      <w:bodyDiv w:val="1"/>
      <w:marLeft w:val="0"/>
      <w:marRight w:val="0"/>
      <w:marTop w:val="0"/>
      <w:marBottom w:val="0"/>
      <w:divBdr>
        <w:top w:val="none" w:sz="0" w:space="0" w:color="auto"/>
        <w:left w:val="none" w:sz="0" w:space="0" w:color="auto"/>
        <w:bottom w:val="none" w:sz="0" w:space="0" w:color="auto"/>
        <w:right w:val="none" w:sz="0" w:space="0" w:color="auto"/>
      </w:divBdr>
    </w:div>
    <w:div w:id="1763599158">
      <w:bodyDiv w:val="1"/>
      <w:marLeft w:val="0"/>
      <w:marRight w:val="0"/>
      <w:marTop w:val="0"/>
      <w:marBottom w:val="0"/>
      <w:divBdr>
        <w:top w:val="none" w:sz="0" w:space="0" w:color="auto"/>
        <w:left w:val="none" w:sz="0" w:space="0" w:color="auto"/>
        <w:bottom w:val="none" w:sz="0" w:space="0" w:color="auto"/>
        <w:right w:val="none" w:sz="0" w:space="0" w:color="auto"/>
      </w:divBdr>
    </w:div>
    <w:div w:id="20412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3A4B79A1B70488C3A7FE211A75806" ma:contentTypeVersion="12" ma:contentTypeDescription="Create a new document." ma:contentTypeScope="" ma:versionID="cfab74281a03338c3f9d74408f97b3eb">
  <xsd:schema xmlns:xsd="http://www.w3.org/2001/XMLSchema" xmlns:xs="http://www.w3.org/2001/XMLSchema" xmlns:p="http://schemas.microsoft.com/office/2006/metadata/properties" xmlns:ns3="d0a5a958-8ef2-49ed-ac44-47a2edc1079b" xmlns:ns4="b5dfc5ff-b414-4597-845b-d63bd163a79d" targetNamespace="http://schemas.microsoft.com/office/2006/metadata/properties" ma:root="true" ma:fieldsID="fbe9d9b0830f2df738abcbde1e09afec" ns3:_="" ns4:_="">
    <xsd:import namespace="d0a5a958-8ef2-49ed-ac44-47a2edc1079b"/>
    <xsd:import namespace="b5dfc5ff-b414-4597-845b-d63bd163a7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a958-8ef2-49ed-ac44-47a2edc10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fc5ff-b414-4597-845b-d63bd163a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16C22-F73A-4FEE-A3DE-1D78763EC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a958-8ef2-49ed-ac44-47a2edc1079b"/>
    <ds:schemaRef ds:uri="b5dfc5ff-b414-4597-845b-d63bd163a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C3BD0-197B-48CC-A76D-1FA21417B94E}">
  <ds:schemaRefs>
    <ds:schemaRef ds:uri="http://schemas.microsoft.com/sharepoint/v3/contenttype/forms"/>
  </ds:schemaRefs>
</ds:datastoreItem>
</file>

<file path=customXml/itemProps3.xml><?xml version="1.0" encoding="utf-8"?>
<ds:datastoreItem xmlns:ds="http://schemas.openxmlformats.org/officeDocument/2006/customXml" ds:itemID="{7251C5BD-B905-49F4-B356-11CD2D6B2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4593</Characters>
  <Application>Microsoft Office Word</Application>
  <DocSecurity>0</DocSecurity>
  <Lines>170</Lines>
  <Paragraphs>115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Reid</dc:creator>
  <cp:keywords/>
  <dc:description/>
  <cp:lastModifiedBy>Penny Reid</cp:lastModifiedBy>
  <cp:revision>4</cp:revision>
  <dcterms:created xsi:type="dcterms:W3CDTF">2021-04-16T12:35:00Z</dcterms:created>
  <dcterms:modified xsi:type="dcterms:W3CDTF">2021-04-16T12:37:00Z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0x010100BC53A4B79A1B70488C3A7FE211A75806</vt:lpwstr>
  </property>
</Properties>
</file>